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92" w:rsidRPr="00C85B92" w:rsidRDefault="00C85B92" w:rsidP="00C85B92">
      <w:pPr>
        <w:spacing w:after="0" w:line="240" w:lineRule="auto"/>
        <w:jc w:val="both"/>
        <w:rPr>
          <w:rFonts w:ascii="Arial" w:eastAsia="Times New Roman" w:hAnsi="Arial" w:cs="Arial"/>
          <w:b/>
          <w:lang w:eastAsia="es-ES"/>
        </w:rPr>
      </w:pPr>
      <w:r w:rsidRPr="00C85B92">
        <w:rPr>
          <w:rFonts w:ascii="Arial" w:eastAsia="Times New Roman" w:hAnsi="Arial" w:cs="Arial"/>
          <w:b/>
          <w:lang w:eastAsia="es-ES"/>
        </w:rPr>
        <w:t>ACUERDO ADOPTADO POR LA JUNTA DE CONTRATACION EN SESION ORDINARIA CELEBRADA EL 3 DE MAYO DE 2018.</w:t>
      </w:r>
    </w:p>
    <w:p w:rsidR="00C85B92" w:rsidRPr="00C85B92" w:rsidRDefault="00C85B92" w:rsidP="00C85B92">
      <w:pPr>
        <w:spacing w:after="0" w:line="240" w:lineRule="auto"/>
        <w:jc w:val="both"/>
        <w:rPr>
          <w:rFonts w:ascii="Arial" w:eastAsia="Times New Roman" w:hAnsi="Arial" w:cs="Arial"/>
          <w:b/>
          <w:lang w:eastAsia="es-ES"/>
        </w:rPr>
      </w:pPr>
    </w:p>
    <w:p w:rsidR="00C85B92" w:rsidRPr="00C85B92" w:rsidRDefault="00C85B92" w:rsidP="00C85B92">
      <w:pPr>
        <w:spacing w:after="0" w:line="240" w:lineRule="auto"/>
        <w:jc w:val="both"/>
        <w:rPr>
          <w:rFonts w:ascii="Arial" w:eastAsia="Times New Roman" w:hAnsi="Arial" w:cs="Arial"/>
          <w:b/>
          <w:lang w:eastAsia="es-ES"/>
        </w:rPr>
      </w:pPr>
    </w:p>
    <w:p w:rsidR="00C85B92" w:rsidRPr="00C85B92" w:rsidRDefault="00C85B92" w:rsidP="00C85B92">
      <w:pPr>
        <w:spacing w:after="0" w:line="240" w:lineRule="auto"/>
        <w:ind w:right="624"/>
        <w:jc w:val="both"/>
        <w:rPr>
          <w:rFonts w:ascii="Arial" w:hAnsi="Arial" w:cs="Arial"/>
          <w:b/>
          <w:bCs/>
          <w:i/>
        </w:rPr>
      </w:pPr>
      <w:proofErr w:type="gramStart"/>
      <w:r w:rsidRPr="00C85B92">
        <w:rPr>
          <w:rFonts w:ascii="Arial" w:hAnsi="Arial" w:cs="Arial"/>
          <w:b/>
          <w:bCs/>
          <w:i/>
        </w:rPr>
        <w:t>2.bis</w:t>
      </w:r>
      <w:proofErr w:type="gramEnd"/>
      <w:r w:rsidRPr="00C85B92">
        <w:rPr>
          <w:rFonts w:ascii="Arial" w:hAnsi="Arial" w:cs="Arial"/>
          <w:b/>
          <w:bCs/>
          <w:i/>
        </w:rPr>
        <w:t>.- ASUNTOS DE URGENCIA</w:t>
      </w:r>
    </w:p>
    <w:p w:rsidR="00C85B92" w:rsidRPr="00C85B92" w:rsidRDefault="00C85B92" w:rsidP="00C85B92">
      <w:pPr>
        <w:spacing w:after="0" w:line="240" w:lineRule="auto"/>
        <w:ind w:right="57"/>
        <w:jc w:val="both"/>
        <w:rPr>
          <w:rFonts w:ascii="Arial" w:hAnsi="Arial" w:cs="Arial"/>
          <w:b/>
          <w:bCs/>
          <w:i/>
        </w:rPr>
      </w:pPr>
      <w:r w:rsidRPr="00C85B92">
        <w:rPr>
          <w:rFonts w:ascii="Arial" w:hAnsi="Arial" w:cs="Arial"/>
          <w:b/>
          <w:bCs/>
          <w:i/>
        </w:rPr>
        <w:t>Previa declaración de urgencia, los asistentes toman conocimiento del siguiente asunto:</w:t>
      </w:r>
    </w:p>
    <w:p w:rsidR="00C85B92" w:rsidRPr="00C85B92" w:rsidRDefault="00C85B92" w:rsidP="00C85B92">
      <w:pPr>
        <w:spacing w:after="0" w:line="240" w:lineRule="auto"/>
        <w:jc w:val="both"/>
        <w:rPr>
          <w:rFonts w:ascii="Arial" w:hAnsi="Arial" w:cs="Arial"/>
          <w:b/>
          <w:bCs/>
          <w:i/>
        </w:rPr>
      </w:pPr>
      <w:r w:rsidRPr="00C85B92">
        <w:rPr>
          <w:rFonts w:ascii="Arial" w:hAnsi="Arial" w:cs="Arial"/>
          <w:b/>
          <w:bCs/>
          <w:color w:val="000000"/>
        </w:rPr>
        <w:t xml:space="preserve">DAR CUENTA DE LA PUNTUACIÓN RELATIVA A VALORACIÓN DE CRITERIOS DEPENDIENTES DE JUICIO DE VALOR Y APERTURA DE SOBRES C </w:t>
      </w:r>
      <w:r w:rsidRPr="00C85B92">
        <w:rPr>
          <w:rFonts w:ascii="Arial" w:hAnsi="Arial" w:cs="Arial"/>
          <w:bCs/>
          <w:color w:val="000000"/>
        </w:rPr>
        <w:t xml:space="preserve">PARA LA ADJUDICACIÓN DEL CONTRATO DE OBRAS </w:t>
      </w:r>
      <w:r w:rsidRPr="00C85B92">
        <w:rPr>
          <w:rFonts w:ascii="Arial" w:hAnsi="Arial" w:cs="Arial"/>
          <w:bCs/>
        </w:rPr>
        <w:t>DENOMINADO “</w:t>
      </w:r>
      <w:r w:rsidRPr="00C85B92">
        <w:rPr>
          <w:rFonts w:ascii="Arial" w:hAnsi="Arial" w:cs="Arial"/>
          <w:b/>
          <w:bCs/>
        </w:rPr>
        <w:t>GESTIÓN Y EJECUCIÓN DE LAS OBRAS QUE SE HAYAN DE REALIZAR EN ESPACIOS DE DOMINIO Y USO PÚBLICO MUNICIPAL, QUE AFECTAN A SERVICIOS BÁSICOS DE SUMINISTROS Y ACCESIBILIDAD</w:t>
      </w:r>
      <w:r w:rsidRPr="00C85B92">
        <w:rPr>
          <w:rFonts w:ascii="Arial" w:hAnsi="Arial" w:cs="Arial"/>
          <w:b/>
          <w:bCs/>
          <w:i/>
        </w:rPr>
        <w:t>.”</w:t>
      </w:r>
    </w:p>
    <w:p w:rsidR="00C85B92" w:rsidRPr="00C85B92" w:rsidRDefault="00C85B92" w:rsidP="00C85B92">
      <w:pPr>
        <w:spacing w:after="0" w:line="240" w:lineRule="auto"/>
        <w:jc w:val="both"/>
        <w:rPr>
          <w:rFonts w:ascii="Arial" w:hAnsi="Arial" w:cs="Arial"/>
          <w:b/>
          <w:bCs/>
          <w:i/>
          <w:u w:val="single"/>
        </w:rPr>
      </w:pPr>
      <w:r w:rsidRPr="00C85B92">
        <w:rPr>
          <w:rFonts w:ascii="Arial" w:hAnsi="Arial" w:cs="Arial"/>
          <w:b/>
          <w:bCs/>
          <w:u w:val="single"/>
        </w:rPr>
        <w:t>DATOS DEL EXPEDIENTE</w:t>
      </w:r>
      <w:r w:rsidRPr="00C85B92">
        <w:rPr>
          <w:rFonts w:ascii="Arial" w:hAnsi="Arial" w:cs="Arial"/>
          <w:b/>
          <w:bCs/>
          <w:i/>
          <w:u w:val="single"/>
        </w:rPr>
        <w:t>:</w:t>
      </w:r>
    </w:p>
    <w:p w:rsidR="00C85B92" w:rsidRPr="00C85B92" w:rsidRDefault="00C85B92" w:rsidP="00C85B92">
      <w:pPr>
        <w:spacing w:after="0" w:line="240" w:lineRule="auto"/>
        <w:jc w:val="both"/>
        <w:rPr>
          <w:rFonts w:ascii="Arial" w:hAnsi="Arial" w:cs="Arial"/>
          <w:bCs/>
        </w:rPr>
      </w:pPr>
      <w:r w:rsidRPr="00C85B92">
        <w:rPr>
          <w:rFonts w:ascii="Arial" w:hAnsi="Arial" w:cs="Arial"/>
          <w:b/>
          <w:bCs/>
          <w:u w:val="single"/>
        </w:rPr>
        <w:t xml:space="preserve">AUTORIZACIÓN DEL CONTRATO E INICIO DEL EXPEDIENTE: </w:t>
      </w:r>
      <w:r w:rsidRPr="00C85B92">
        <w:rPr>
          <w:rFonts w:ascii="Arial" w:hAnsi="Arial" w:cs="Arial"/>
          <w:bCs/>
        </w:rPr>
        <w:t>Acuerdo de la Junta de Gobierno de la Ciudad de Toledo de 7 de Febrero de 2018.</w:t>
      </w:r>
    </w:p>
    <w:p w:rsidR="00C85B92" w:rsidRPr="00C85B92" w:rsidRDefault="00C85B92" w:rsidP="00C85B92">
      <w:pPr>
        <w:spacing w:after="0" w:line="240" w:lineRule="auto"/>
        <w:jc w:val="both"/>
        <w:rPr>
          <w:rFonts w:ascii="Arial" w:eastAsia="Times New Roman" w:hAnsi="Arial" w:cs="Arial"/>
          <w:lang w:eastAsia="es-ES"/>
        </w:rPr>
      </w:pPr>
      <w:r w:rsidRPr="00C85B92">
        <w:rPr>
          <w:rFonts w:ascii="Arial" w:eastAsia="Times New Roman" w:hAnsi="Arial" w:cs="Arial"/>
          <w:b/>
          <w:bCs/>
          <w:i/>
          <w:iCs/>
          <w:u w:val="single"/>
          <w:lang w:eastAsia="es-ES"/>
        </w:rPr>
        <w:t xml:space="preserve">UNIDAD GESTORA: </w:t>
      </w:r>
      <w:r w:rsidRPr="00C85B92">
        <w:rPr>
          <w:rFonts w:ascii="Arial" w:eastAsia="Times New Roman" w:hAnsi="Arial" w:cs="Arial"/>
          <w:lang w:eastAsia="es-ES"/>
        </w:rPr>
        <w:t>SERVICIO DE OBRAS E INFRAESTRUCTURAS.</w:t>
      </w:r>
    </w:p>
    <w:p w:rsidR="00C85B92" w:rsidRPr="00C85B92" w:rsidRDefault="00C85B92" w:rsidP="00C85B92">
      <w:pPr>
        <w:spacing w:after="0" w:line="240" w:lineRule="auto"/>
        <w:jc w:val="both"/>
        <w:rPr>
          <w:rFonts w:ascii="Arial" w:eastAsia="Times New Roman" w:hAnsi="Arial" w:cs="Arial"/>
          <w:lang w:eastAsia="es-ES"/>
        </w:rPr>
      </w:pPr>
      <w:r w:rsidRPr="00C85B92">
        <w:rPr>
          <w:rFonts w:ascii="Arial" w:eastAsia="Times New Roman" w:hAnsi="Arial" w:cs="Arial"/>
          <w:b/>
          <w:bCs/>
          <w:i/>
          <w:iCs/>
          <w:u w:val="single"/>
          <w:lang w:eastAsia="es-ES"/>
        </w:rPr>
        <w:t xml:space="preserve">PROCEDIMIENTO: </w:t>
      </w:r>
      <w:r w:rsidRPr="00C85B92">
        <w:rPr>
          <w:rFonts w:ascii="Arial" w:eastAsia="Times New Roman" w:hAnsi="Arial" w:cs="Arial"/>
          <w:bCs/>
          <w:iCs/>
          <w:lang w:eastAsia="es-ES"/>
        </w:rPr>
        <w:t>ABIERTO</w:t>
      </w:r>
      <w:r w:rsidRPr="00C85B92">
        <w:rPr>
          <w:rFonts w:ascii="Arial" w:eastAsia="Times New Roman" w:hAnsi="Arial" w:cs="Arial"/>
          <w:lang w:eastAsia="es-ES"/>
        </w:rPr>
        <w:t>.</w:t>
      </w:r>
    </w:p>
    <w:p w:rsidR="00C85B92" w:rsidRPr="00C85B92" w:rsidRDefault="00C85B92" w:rsidP="00C85B92">
      <w:pPr>
        <w:spacing w:after="0" w:line="240" w:lineRule="auto"/>
        <w:jc w:val="both"/>
        <w:rPr>
          <w:rFonts w:ascii="Arial" w:eastAsia="Times New Roman" w:hAnsi="Arial" w:cs="Arial"/>
          <w:lang w:eastAsia="es-ES"/>
        </w:rPr>
      </w:pPr>
      <w:r w:rsidRPr="00C85B92">
        <w:rPr>
          <w:rFonts w:ascii="Arial" w:eastAsia="Times New Roman" w:hAnsi="Arial" w:cs="Arial"/>
          <w:b/>
          <w:bCs/>
          <w:i/>
          <w:iCs/>
          <w:u w:val="single"/>
          <w:lang w:eastAsia="es-ES"/>
        </w:rPr>
        <w:t xml:space="preserve">TRAMITACIÓN: </w:t>
      </w:r>
      <w:r w:rsidRPr="00C85B92">
        <w:rPr>
          <w:rFonts w:ascii="Arial" w:eastAsia="Times New Roman" w:hAnsi="Arial" w:cs="Arial"/>
          <w:lang w:eastAsia="es-ES"/>
        </w:rPr>
        <w:t>ORDINARIA.</w:t>
      </w:r>
    </w:p>
    <w:p w:rsidR="00C85B92" w:rsidRPr="00C85B92" w:rsidRDefault="00C85B92" w:rsidP="00C85B92">
      <w:pPr>
        <w:spacing w:after="0" w:line="240" w:lineRule="auto"/>
        <w:jc w:val="both"/>
        <w:rPr>
          <w:rFonts w:ascii="Arial" w:eastAsia="Times New Roman" w:hAnsi="Arial" w:cs="Arial"/>
          <w:lang w:eastAsia="es-ES"/>
        </w:rPr>
      </w:pPr>
      <w:r w:rsidRPr="00C85B92">
        <w:rPr>
          <w:rFonts w:ascii="Arial" w:eastAsia="Times New Roman" w:hAnsi="Arial" w:cs="Arial"/>
          <w:b/>
          <w:bCs/>
          <w:i/>
          <w:iCs/>
          <w:u w:val="single"/>
          <w:lang w:eastAsia="es-ES"/>
        </w:rPr>
        <w:t>IMPORTE:</w:t>
      </w:r>
      <w:r w:rsidRPr="00C85B92">
        <w:rPr>
          <w:rFonts w:ascii="Arial" w:eastAsia="Times New Roman" w:hAnsi="Arial" w:cs="Arial"/>
          <w:lang w:eastAsia="es-ES"/>
        </w:rPr>
        <w:t xml:space="preserve"> 1.200.000 €, incluido IVA.</w:t>
      </w:r>
    </w:p>
    <w:p w:rsidR="00C85B92" w:rsidRPr="00C85B92" w:rsidRDefault="00C85B92" w:rsidP="00C85B92">
      <w:pPr>
        <w:spacing w:after="0" w:line="240" w:lineRule="auto"/>
        <w:jc w:val="both"/>
        <w:rPr>
          <w:rFonts w:ascii="Arial" w:eastAsia="Times New Roman" w:hAnsi="Arial" w:cs="Arial"/>
          <w:b/>
          <w:bCs/>
          <w:i/>
          <w:iCs/>
          <w:u w:val="single"/>
          <w:lang w:eastAsia="es-ES"/>
        </w:rPr>
      </w:pPr>
      <w:r w:rsidRPr="00C85B92">
        <w:rPr>
          <w:rFonts w:ascii="Arial" w:eastAsia="Times New Roman" w:hAnsi="Arial" w:cs="Arial"/>
          <w:b/>
          <w:u w:val="single"/>
          <w:lang w:eastAsia="es-ES"/>
        </w:rPr>
        <w:t>VALOR ESTIMADO</w:t>
      </w:r>
      <w:r w:rsidRPr="00C85B92">
        <w:rPr>
          <w:rFonts w:ascii="Arial" w:eastAsia="Times New Roman" w:hAnsi="Arial" w:cs="Arial"/>
          <w:lang w:eastAsia="es-ES"/>
        </w:rPr>
        <w:t>: 1.487.603,31 € (principal + prórroga + posible modificación)</w:t>
      </w:r>
    </w:p>
    <w:p w:rsidR="00C85B92" w:rsidRPr="00C85B92" w:rsidRDefault="00C85B92" w:rsidP="00C85B92">
      <w:pPr>
        <w:spacing w:after="0" w:line="240" w:lineRule="auto"/>
        <w:jc w:val="both"/>
        <w:rPr>
          <w:rFonts w:ascii="Arial" w:eastAsia="Times New Roman" w:hAnsi="Arial" w:cs="Arial"/>
          <w:lang w:eastAsia="es-ES"/>
        </w:rPr>
      </w:pPr>
      <w:r w:rsidRPr="00C85B92">
        <w:rPr>
          <w:rFonts w:ascii="Arial" w:eastAsia="Times New Roman" w:hAnsi="Arial" w:cs="Arial"/>
          <w:b/>
          <w:bCs/>
          <w:i/>
          <w:iCs/>
          <w:u w:val="single"/>
          <w:lang w:eastAsia="es-ES"/>
        </w:rPr>
        <w:t>PLAZO DE EJECUCION:</w:t>
      </w:r>
      <w:r w:rsidRPr="00C85B92">
        <w:rPr>
          <w:rFonts w:ascii="Arial" w:eastAsia="Times New Roman" w:hAnsi="Arial" w:cs="Arial"/>
          <w:bCs/>
          <w:iCs/>
          <w:lang w:eastAsia="es-ES"/>
        </w:rPr>
        <w:t xml:space="preserve"> DOS (2)</w:t>
      </w:r>
      <w:r w:rsidRPr="00C85B92">
        <w:rPr>
          <w:rFonts w:ascii="Arial" w:eastAsia="Times New Roman" w:hAnsi="Arial" w:cs="Arial"/>
          <w:lang w:eastAsia="es-ES"/>
        </w:rPr>
        <w:t xml:space="preserve"> AÑOS, con posibilidad de prórroga de 1 año o fracción.</w:t>
      </w:r>
    </w:p>
    <w:p w:rsidR="00C85B92" w:rsidRPr="00C85B92" w:rsidRDefault="00C85B92" w:rsidP="00C85B92">
      <w:pPr>
        <w:spacing w:after="0" w:line="240" w:lineRule="auto"/>
        <w:jc w:val="both"/>
        <w:rPr>
          <w:rFonts w:ascii="Arial" w:eastAsia="Times New Roman" w:hAnsi="Arial" w:cs="Arial"/>
          <w:bCs/>
          <w:iCs/>
          <w:lang w:eastAsia="es-ES"/>
        </w:rPr>
      </w:pPr>
      <w:r w:rsidRPr="00C85B92">
        <w:rPr>
          <w:rFonts w:ascii="Arial" w:eastAsia="Times New Roman" w:hAnsi="Arial" w:cs="Arial"/>
          <w:b/>
          <w:bCs/>
          <w:i/>
          <w:iCs/>
          <w:u w:val="single"/>
          <w:lang w:eastAsia="es-ES"/>
        </w:rPr>
        <w:t xml:space="preserve">ANUNCIO DE LICITACIÓN: </w:t>
      </w:r>
      <w:r w:rsidRPr="00C85B92">
        <w:rPr>
          <w:rFonts w:ascii="Arial" w:eastAsia="Times New Roman" w:hAnsi="Arial" w:cs="Arial"/>
          <w:bCs/>
          <w:iCs/>
          <w:lang w:eastAsia="es-ES"/>
        </w:rPr>
        <w:t>Boletín Oficial de la Provincia de 16 de Febrero de 2018</w:t>
      </w:r>
    </w:p>
    <w:p w:rsidR="00C85B92" w:rsidRPr="00C85B92" w:rsidRDefault="00C85B92" w:rsidP="00C85B92">
      <w:pPr>
        <w:spacing w:after="0" w:line="240" w:lineRule="auto"/>
        <w:jc w:val="both"/>
        <w:rPr>
          <w:rFonts w:ascii="Arial" w:eastAsia="Times New Roman" w:hAnsi="Arial" w:cs="Arial"/>
          <w:bCs/>
          <w:iCs/>
          <w:lang w:eastAsia="es-ES"/>
        </w:rPr>
      </w:pPr>
      <w:r w:rsidRPr="00C85B92">
        <w:rPr>
          <w:rFonts w:ascii="Arial" w:eastAsia="Times New Roman" w:hAnsi="Arial" w:cs="Arial"/>
          <w:b/>
          <w:bCs/>
          <w:i/>
          <w:iCs/>
          <w:u w:val="single"/>
          <w:lang w:eastAsia="es-ES"/>
        </w:rPr>
        <w:t>RECTIFICACIÓN DE ERROR EN ANEXO DEL CUADRO DE CARACTERÍSTICAS:</w:t>
      </w:r>
      <w:r w:rsidRPr="00C85B92">
        <w:rPr>
          <w:rFonts w:ascii="Arial" w:eastAsia="Times New Roman" w:hAnsi="Arial" w:cs="Arial"/>
          <w:bCs/>
          <w:iCs/>
          <w:lang w:eastAsia="es-ES"/>
        </w:rPr>
        <w:t xml:space="preserve"> Acuerdo de la Junta de Gobierno de 21 de Febrero de 2018</w:t>
      </w:r>
    </w:p>
    <w:p w:rsidR="00C85B92" w:rsidRPr="00C85B92" w:rsidRDefault="00C85B92" w:rsidP="00C85B92">
      <w:pPr>
        <w:spacing w:after="0" w:line="240" w:lineRule="auto"/>
        <w:jc w:val="both"/>
        <w:rPr>
          <w:rFonts w:ascii="Arial" w:eastAsia="Times New Roman" w:hAnsi="Arial" w:cs="Arial"/>
          <w:bCs/>
          <w:iCs/>
          <w:lang w:eastAsia="es-ES"/>
        </w:rPr>
      </w:pPr>
      <w:r w:rsidRPr="00C85B92">
        <w:rPr>
          <w:rFonts w:ascii="Arial" w:eastAsia="Times New Roman" w:hAnsi="Arial" w:cs="Arial"/>
          <w:b/>
          <w:bCs/>
          <w:i/>
          <w:iCs/>
          <w:u w:val="single"/>
          <w:lang w:eastAsia="es-ES"/>
        </w:rPr>
        <w:t>RECTIFICACIÓN DE ERROR DE CLASIFICACIÓN DEL CONTRATISTA:</w:t>
      </w:r>
      <w:r w:rsidRPr="00C85B92">
        <w:rPr>
          <w:rFonts w:ascii="Arial" w:eastAsia="Times New Roman" w:hAnsi="Arial" w:cs="Arial"/>
          <w:bCs/>
          <w:iCs/>
          <w:lang w:eastAsia="es-ES"/>
        </w:rPr>
        <w:t xml:space="preserve"> Acuerdo de la Junta de Gobierno de 28 de Febrero de 2018.</w:t>
      </w:r>
    </w:p>
    <w:p w:rsidR="00C85B92" w:rsidRPr="00C85B92" w:rsidRDefault="00C85B92" w:rsidP="00C85B92">
      <w:pPr>
        <w:spacing w:after="0" w:line="240" w:lineRule="auto"/>
        <w:jc w:val="both"/>
        <w:rPr>
          <w:rFonts w:ascii="Arial" w:eastAsia="Times New Roman" w:hAnsi="Arial" w:cs="Arial"/>
          <w:bCs/>
          <w:iCs/>
          <w:lang w:eastAsia="es-ES"/>
        </w:rPr>
      </w:pPr>
      <w:r w:rsidRPr="00C85B92">
        <w:rPr>
          <w:rFonts w:ascii="Arial" w:eastAsia="Times New Roman" w:hAnsi="Arial" w:cs="Arial"/>
          <w:b/>
          <w:bCs/>
          <w:i/>
          <w:iCs/>
          <w:u w:val="single"/>
          <w:lang w:eastAsia="es-ES"/>
        </w:rPr>
        <w:t>RECTIFICACIÓN DE ERROR EN ANEXO II (PPT):</w:t>
      </w:r>
      <w:r w:rsidRPr="00C85B92">
        <w:rPr>
          <w:rFonts w:ascii="Arial" w:eastAsia="Times New Roman" w:hAnsi="Arial" w:cs="Arial"/>
          <w:bCs/>
          <w:iCs/>
          <w:lang w:eastAsia="es-ES"/>
        </w:rPr>
        <w:t xml:space="preserve"> Acuerdo de la Junta de Gobierno de 7 de marzo de 2018.</w:t>
      </w:r>
    </w:p>
    <w:p w:rsidR="00C85B92" w:rsidRPr="00C85B92" w:rsidRDefault="00C85B92" w:rsidP="00C85B92">
      <w:pPr>
        <w:spacing w:after="0" w:line="240" w:lineRule="auto"/>
        <w:jc w:val="both"/>
        <w:rPr>
          <w:rFonts w:ascii="Arial" w:eastAsia="Times New Roman" w:hAnsi="Arial" w:cs="Arial"/>
          <w:bCs/>
          <w:iCs/>
          <w:lang w:eastAsia="es-ES"/>
        </w:rPr>
      </w:pPr>
      <w:r w:rsidRPr="00C85B92">
        <w:rPr>
          <w:rFonts w:ascii="Arial" w:eastAsia="Times New Roman" w:hAnsi="Arial" w:cs="Arial"/>
          <w:b/>
          <w:bCs/>
          <w:i/>
          <w:iCs/>
          <w:u w:val="single"/>
          <w:lang w:eastAsia="es-ES"/>
        </w:rPr>
        <w:t>ANUNCIO DE RECTIFICACIÓN DE ERROR:</w:t>
      </w:r>
      <w:r w:rsidRPr="00C85B92">
        <w:rPr>
          <w:rFonts w:ascii="Arial" w:eastAsia="Times New Roman" w:hAnsi="Arial" w:cs="Arial"/>
          <w:bCs/>
          <w:iCs/>
          <w:lang w:eastAsia="es-ES"/>
        </w:rPr>
        <w:t xml:space="preserve"> Boletín Oficial de la Provincia de 8 de marzo de 2018.</w:t>
      </w:r>
    </w:p>
    <w:p w:rsidR="00C85B92" w:rsidRPr="00C85B92" w:rsidRDefault="00C85B92" w:rsidP="00C85B92">
      <w:pPr>
        <w:spacing w:after="0" w:line="240" w:lineRule="auto"/>
        <w:jc w:val="both"/>
        <w:rPr>
          <w:rFonts w:ascii="Arial" w:eastAsia="Times New Roman" w:hAnsi="Arial" w:cs="Arial"/>
          <w:bCs/>
          <w:iCs/>
          <w:lang w:eastAsia="es-ES"/>
        </w:rPr>
      </w:pPr>
      <w:r w:rsidRPr="00C85B92">
        <w:rPr>
          <w:rFonts w:ascii="Arial" w:eastAsia="Times New Roman" w:hAnsi="Arial" w:cs="Arial"/>
          <w:b/>
          <w:bCs/>
          <w:i/>
          <w:iCs/>
          <w:u w:val="single"/>
          <w:lang w:eastAsia="es-ES"/>
        </w:rPr>
        <w:t>PLAZO DE PRESENTACIÓN DE PROPOSICIONES</w:t>
      </w:r>
      <w:r w:rsidRPr="00C85B92">
        <w:rPr>
          <w:rFonts w:ascii="Arial" w:eastAsia="Times New Roman" w:hAnsi="Arial" w:cs="Arial"/>
          <w:bCs/>
          <w:iCs/>
          <w:lang w:eastAsia="es-ES"/>
        </w:rPr>
        <w:t>: Hasta el 3 de Abril de 2018</w:t>
      </w:r>
    </w:p>
    <w:p w:rsidR="00C85B92" w:rsidRPr="00C85B92" w:rsidRDefault="00C85B92" w:rsidP="00C85B92">
      <w:pPr>
        <w:spacing w:after="0" w:line="240" w:lineRule="auto"/>
        <w:jc w:val="both"/>
        <w:rPr>
          <w:rFonts w:ascii="Arial" w:eastAsia="Times New Roman" w:hAnsi="Arial" w:cs="Arial"/>
          <w:lang w:val="es-ES_tradnl" w:eastAsia="es-ES"/>
        </w:rPr>
      </w:pPr>
      <w:r w:rsidRPr="00C85B92">
        <w:rPr>
          <w:rFonts w:ascii="Arial" w:eastAsia="Times New Roman" w:hAnsi="Arial" w:cs="Arial"/>
          <w:b/>
          <w:u w:val="single"/>
          <w:lang w:val="es-ES_tradnl" w:eastAsia="es-ES"/>
        </w:rPr>
        <w:t>PROPOSICIONES FORMULADAS</w:t>
      </w:r>
      <w:r w:rsidRPr="00C85B92">
        <w:rPr>
          <w:rFonts w:ascii="Arial" w:eastAsia="Times New Roman" w:hAnsi="Arial" w:cs="Arial"/>
          <w:b/>
          <w:lang w:val="es-ES_tradnl" w:eastAsia="es-ES"/>
        </w:rPr>
        <w:t xml:space="preserve">: </w:t>
      </w:r>
      <w:r w:rsidRPr="00C85B92">
        <w:rPr>
          <w:rFonts w:ascii="Arial" w:eastAsia="Times New Roman" w:hAnsi="Arial" w:cs="Arial"/>
          <w:lang w:val="es-ES_tradnl" w:eastAsia="es-ES"/>
        </w:rPr>
        <w:t>CUATRO (4)</w:t>
      </w:r>
    </w:p>
    <w:p w:rsidR="00C85B92" w:rsidRPr="00C85B92" w:rsidRDefault="00C85B92" w:rsidP="00C85B92">
      <w:pPr>
        <w:spacing w:after="0" w:line="240" w:lineRule="auto"/>
        <w:jc w:val="both"/>
        <w:rPr>
          <w:rFonts w:ascii="Arial" w:eastAsia="Times New Roman" w:hAnsi="Arial" w:cs="Arial"/>
          <w:b/>
          <w:lang w:eastAsia="es-ES"/>
        </w:rPr>
      </w:pPr>
      <w:r w:rsidRPr="00C85B92">
        <w:rPr>
          <w:rFonts w:ascii="Arial" w:eastAsia="Times New Roman" w:hAnsi="Arial" w:cs="Arial"/>
          <w:b/>
          <w:u w:val="single"/>
          <w:lang w:val="es-ES_tradnl" w:eastAsia="es-ES"/>
        </w:rPr>
        <w:t>ÚLTIMO TRÁMITE</w:t>
      </w:r>
      <w:r w:rsidRPr="00C85B92">
        <w:rPr>
          <w:rFonts w:ascii="Arial" w:eastAsia="Times New Roman" w:hAnsi="Arial" w:cs="Arial"/>
          <w:lang w:val="es-ES_tradnl" w:eastAsia="es-ES"/>
        </w:rPr>
        <w:t>: Acuerdo de la Junta de Contratación de 12 de Abril de 2018, de apertura de sobres A y B.</w:t>
      </w:r>
    </w:p>
    <w:p w:rsidR="00C85B92" w:rsidRPr="00C85B92" w:rsidRDefault="00C85B92" w:rsidP="00C85B92">
      <w:pPr>
        <w:spacing w:after="0" w:line="240" w:lineRule="auto"/>
        <w:ind w:right="624"/>
        <w:jc w:val="both"/>
        <w:rPr>
          <w:rFonts w:ascii="Arial" w:hAnsi="Arial" w:cs="Arial"/>
          <w:b/>
          <w:bCs/>
        </w:rPr>
      </w:pPr>
    </w:p>
    <w:p w:rsidR="00C85B92" w:rsidRPr="00C85B92" w:rsidRDefault="00C85B92" w:rsidP="00C85B92">
      <w:pPr>
        <w:ind w:left="-57"/>
        <w:jc w:val="both"/>
        <w:rPr>
          <w:rFonts w:ascii="Arial" w:hAnsi="Arial" w:cs="Arial"/>
          <w:b/>
          <w:szCs w:val="20"/>
          <w:lang w:val="es-ES_tradnl"/>
        </w:rPr>
      </w:pPr>
      <w:r w:rsidRPr="00C85B92">
        <w:rPr>
          <w:rFonts w:ascii="Arial" w:hAnsi="Arial" w:cs="Arial"/>
          <w:szCs w:val="20"/>
          <w:lang w:val="es-ES_tradnl"/>
        </w:rPr>
        <w:t>Tiene este acto público por objeto, dar cuenta del informe de valoración de los criterios cuya ponderación depende de un juicio de valor, así como la apertura  de los sobres C, de proposición económica/criterios matemáticos, automáticos, presentados para optar a la adjudicación mediante procedimiento abierto</w:t>
      </w:r>
      <w:r w:rsidRPr="00C85B92">
        <w:rPr>
          <w:rFonts w:ascii="Arial" w:hAnsi="Arial" w:cs="Arial"/>
          <w:bCs/>
          <w:szCs w:val="20"/>
          <w:lang w:val="es-ES_tradnl"/>
        </w:rPr>
        <w:t>, del contrato de prestación del servicio referenciado en el epígrafe.</w:t>
      </w:r>
      <w:r w:rsidRPr="00C85B92">
        <w:rPr>
          <w:rFonts w:ascii="Arial" w:hAnsi="Arial" w:cs="Arial"/>
          <w:color w:val="FF0000"/>
          <w:szCs w:val="20"/>
          <w:lang w:val="es-ES_tradnl"/>
        </w:rPr>
        <w:t xml:space="preserve"> </w:t>
      </w:r>
    </w:p>
    <w:p w:rsidR="00C85B92" w:rsidRPr="00C85B92" w:rsidRDefault="00C85B92" w:rsidP="00C85B92">
      <w:pPr>
        <w:ind w:left="-57"/>
        <w:jc w:val="both"/>
        <w:rPr>
          <w:rFonts w:ascii="Arial" w:hAnsi="Arial" w:cs="Arial"/>
          <w:b/>
          <w:szCs w:val="20"/>
          <w:lang w:val="es-ES_tradnl"/>
        </w:rPr>
      </w:pPr>
      <w:r w:rsidRPr="00C85B92">
        <w:rPr>
          <w:rFonts w:ascii="Arial" w:hAnsi="Arial" w:cs="Arial"/>
          <w:szCs w:val="20"/>
          <w:lang w:val="es-ES_tradnl"/>
        </w:rPr>
        <w:t xml:space="preserve">Abierto el acto por el Sr. Presidente, se procede de conformidad con lo que dispone el artículo 30 del Real Decreto 817/2009, de 8 de mayo,  a dar cuenta del informe técnico emitido en relación a la valoración motivada de los criterios cuya cuantificación depende de un juicio de valor, previstos en el PCAP que rige el procedimiento, siendo dicho informe el que figura como </w:t>
      </w:r>
      <w:r w:rsidRPr="00C85B92">
        <w:rPr>
          <w:rFonts w:ascii="Arial" w:hAnsi="Arial" w:cs="Arial"/>
          <w:b/>
          <w:szCs w:val="20"/>
          <w:lang w:val="es-ES_tradnl"/>
        </w:rPr>
        <w:t xml:space="preserve">ANEXO </w:t>
      </w:r>
      <w:r w:rsidRPr="00C85B92">
        <w:rPr>
          <w:rFonts w:ascii="Arial" w:hAnsi="Arial" w:cs="Arial"/>
          <w:szCs w:val="20"/>
          <w:lang w:val="es-ES_tradnl"/>
        </w:rPr>
        <w:t>al presente acta, como parte integrante de la misma.</w:t>
      </w:r>
    </w:p>
    <w:p w:rsidR="00C85B92" w:rsidRPr="00C85B92" w:rsidRDefault="00C85B92" w:rsidP="00C85B92">
      <w:pPr>
        <w:ind w:left="-57"/>
        <w:jc w:val="both"/>
        <w:rPr>
          <w:rFonts w:ascii="Arial" w:hAnsi="Arial" w:cs="Arial"/>
          <w:color w:val="000000"/>
          <w:szCs w:val="20"/>
          <w:lang w:val="es-ES_tradnl"/>
        </w:rPr>
      </w:pPr>
      <w:r w:rsidRPr="00C85B92">
        <w:rPr>
          <w:rFonts w:ascii="Arial" w:hAnsi="Arial" w:cs="Arial"/>
          <w:color w:val="000000"/>
          <w:szCs w:val="20"/>
          <w:lang w:val="es-ES_tradnl"/>
        </w:rPr>
        <w:lastRenderedPageBreak/>
        <w:t>En el referido informe, se detalla la puntuación asignada a los licitadores  presentados, por los criterios cuya ponderación depende de un juicio de valor, siendo dicha puntuación la siguiente:</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6427"/>
        <w:gridCol w:w="2501"/>
      </w:tblGrid>
      <w:tr w:rsidR="00C85B92" w:rsidRPr="00C85B92" w:rsidTr="00476C2C">
        <w:trPr>
          <w:jc w:val="center"/>
        </w:trPr>
        <w:tc>
          <w:tcPr>
            <w:tcW w:w="939" w:type="dxa"/>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s-ES"/>
              </w:rPr>
            </w:pPr>
            <w:r w:rsidRPr="00C85B92">
              <w:rPr>
                <w:rFonts w:ascii="Times New Roman" w:eastAsia="Times New Roman" w:hAnsi="Times New Roman" w:cs="Times New Roman"/>
                <w:b/>
                <w:sz w:val="24"/>
                <w:szCs w:val="24"/>
                <w:lang w:val="en-US" w:eastAsia="es-ES"/>
              </w:rPr>
              <w:t>Nº Plica</w:t>
            </w:r>
          </w:p>
        </w:tc>
        <w:tc>
          <w:tcPr>
            <w:tcW w:w="6427" w:type="dxa"/>
            <w:vAlign w:val="center"/>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s-ES"/>
              </w:rPr>
            </w:pPr>
            <w:r w:rsidRPr="00C85B92">
              <w:rPr>
                <w:rFonts w:ascii="Times New Roman" w:eastAsia="Times New Roman" w:hAnsi="Times New Roman" w:cs="Times New Roman"/>
                <w:b/>
                <w:sz w:val="24"/>
                <w:szCs w:val="24"/>
                <w:lang w:val="en-US" w:eastAsia="es-ES"/>
              </w:rPr>
              <w:t>LICITADOR</w:t>
            </w:r>
          </w:p>
        </w:tc>
        <w:tc>
          <w:tcPr>
            <w:tcW w:w="2501" w:type="dxa"/>
            <w:vAlign w:val="center"/>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es-ES"/>
              </w:rPr>
            </w:pPr>
            <w:r w:rsidRPr="00C85B92">
              <w:rPr>
                <w:rFonts w:ascii="Times New Roman" w:eastAsia="Times New Roman" w:hAnsi="Times New Roman" w:cs="Times New Roman"/>
                <w:b/>
                <w:sz w:val="24"/>
                <w:szCs w:val="24"/>
                <w:lang w:val="en-US" w:eastAsia="es-ES"/>
              </w:rPr>
              <w:t>VALORACIÓN PUNTOS</w:t>
            </w:r>
          </w:p>
        </w:tc>
      </w:tr>
      <w:tr w:rsidR="00C85B92" w:rsidRPr="00C85B92" w:rsidTr="00476C2C">
        <w:trPr>
          <w:jc w:val="center"/>
        </w:trPr>
        <w:tc>
          <w:tcPr>
            <w:tcW w:w="939" w:type="dxa"/>
            <w:vAlign w:val="center"/>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s-ES"/>
              </w:rPr>
            </w:pPr>
            <w:r w:rsidRPr="00C85B92">
              <w:rPr>
                <w:rFonts w:ascii="Times New Roman" w:eastAsia="Times New Roman" w:hAnsi="Times New Roman" w:cs="Times New Roman"/>
                <w:sz w:val="24"/>
                <w:szCs w:val="24"/>
                <w:lang w:val="en-US" w:eastAsia="es-ES"/>
              </w:rPr>
              <w:t>1</w:t>
            </w:r>
          </w:p>
        </w:tc>
        <w:tc>
          <w:tcPr>
            <w:tcW w:w="6427"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GESTIÓN Y EJECUCIÓN DE OBRA CIVIL, S.A.U.</w:t>
            </w:r>
          </w:p>
        </w:tc>
        <w:tc>
          <w:tcPr>
            <w:tcW w:w="2501" w:type="dxa"/>
          </w:tcPr>
          <w:p w:rsidR="00C85B92" w:rsidRPr="00C85B92" w:rsidRDefault="00C85B92" w:rsidP="00C85B92">
            <w:pPr>
              <w:widowControl w:val="0"/>
              <w:tabs>
                <w:tab w:val="right" w:pos="3306"/>
              </w:tabs>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32,4829</w:t>
            </w:r>
          </w:p>
        </w:tc>
      </w:tr>
      <w:tr w:rsidR="00C85B92" w:rsidRPr="00C85B92" w:rsidTr="00476C2C">
        <w:trPr>
          <w:jc w:val="center"/>
        </w:trPr>
        <w:tc>
          <w:tcPr>
            <w:tcW w:w="939" w:type="dxa"/>
            <w:vAlign w:val="center"/>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s-ES"/>
              </w:rPr>
            </w:pPr>
            <w:r w:rsidRPr="00C85B92">
              <w:rPr>
                <w:rFonts w:ascii="Times New Roman" w:eastAsia="Times New Roman" w:hAnsi="Times New Roman" w:cs="Times New Roman"/>
                <w:sz w:val="24"/>
                <w:szCs w:val="24"/>
                <w:lang w:val="en-US" w:eastAsia="es-ES"/>
              </w:rPr>
              <w:t>2</w:t>
            </w:r>
          </w:p>
        </w:tc>
        <w:tc>
          <w:tcPr>
            <w:tcW w:w="6427"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ENTORNO OBRAS Y SERVICIOS, S.L.</w:t>
            </w:r>
          </w:p>
        </w:tc>
        <w:tc>
          <w:tcPr>
            <w:tcW w:w="2501" w:type="dxa"/>
          </w:tcPr>
          <w:p w:rsidR="00C85B92" w:rsidRPr="00C85B92" w:rsidRDefault="00C85B92" w:rsidP="00C85B92">
            <w:pPr>
              <w:widowControl w:val="0"/>
              <w:tabs>
                <w:tab w:val="right" w:pos="3306"/>
              </w:tabs>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33,3329</w:t>
            </w:r>
          </w:p>
        </w:tc>
      </w:tr>
      <w:tr w:rsidR="00C85B92" w:rsidRPr="00C85B92" w:rsidTr="00476C2C">
        <w:trPr>
          <w:trHeight w:val="180"/>
          <w:jc w:val="center"/>
        </w:trPr>
        <w:tc>
          <w:tcPr>
            <w:tcW w:w="939" w:type="dxa"/>
            <w:vAlign w:val="center"/>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s-ES"/>
              </w:rPr>
            </w:pPr>
            <w:r w:rsidRPr="00C85B92">
              <w:rPr>
                <w:rFonts w:ascii="Times New Roman" w:eastAsia="Times New Roman" w:hAnsi="Times New Roman" w:cs="Times New Roman"/>
                <w:sz w:val="24"/>
                <w:szCs w:val="24"/>
                <w:lang w:val="en-US" w:eastAsia="es-ES"/>
              </w:rPr>
              <w:t>3</w:t>
            </w:r>
          </w:p>
        </w:tc>
        <w:tc>
          <w:tcPr>
            <w:tcW w:w="6427"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ANTONIO MIGUEL ALONSO e HIJOS, S.L.</w:t>
            </w:r>
          </w:p>
        </w:tc>
        <w:tc>
          <w:tcPr>
            <w:tcW w:w="2501" w:type="dxa"/>
          </w:tcPr>
          <w:p w:rsidR="00C85B92" w:rsidRPr="00C85B92" w:rsidRDefault="00C85B92" w:rsidP="00C85B92">
            <w:pPr>
              <w:widowControl w:val="0"/>
              <w:tabs>
                <w:tab w:val="right" w:pos="3306"/>
              </w:tabs>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42,6421</w:t>
            </w:r>
          </w:p>
        </w:tc>
      </w:tr>
      <w:tr w:rsidR="00C85B92" w:rsidRPr="00C85B92" w:rsidTr="00476C2C">
        <w:trPr>
          <w:trHeight w:val="180"/>
          <w:jc w:val="center"/>
        </w:trPr>
        <w:tc>
          <w:tcPr>
            <w:tcW w:w="939" w:type="dxa"/>
            <w:vAlign w:val="center"/>
          </w:tcPr>
          <w:p w:rsidR="00C85B92" w:rsidRPr="00C85B92" w:rsidRDefault="00C85B92" w:rsidP="00C85B92">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es-ES"/>
              </w:rPr>
            </w:pPr>
            <w:r w:rsidRPr="00C85B92">
              <w:rPr>
                <w:rFonts w:ascii="Times New Roman" w:eastAsia="Times New Roman" w:hAnsi="Times New Roman" w:cs="Times New Roman"/>
                <w:sz w:val="24"/>
                <w:szCs w:val="24"/>
                <w:lang w:val="en-US" w:eastAsia="es-ES"/>
              </w:rPr>
              <w:t>4</w:t>
            </w:r>
          </w:p>
        </w:tc>
        <w:tc>
          <w:tcPr>
            <w:tcW w:w="6427"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CONSTRUCCIONES ANTOLÍN GARCÍA LOZOYA, S.A.</w:t>
            </w:r>
          </w:p>
        </w:tc>
        <w:tc>
          <w:tcPr>
            <w:tcW w:w="2501" w:type="dxa"/>
          </w:tcPr>
          <w:p w:rsidR="00C85B92" w:rsidRPr="00C85B92" w:rsidRDefault="00C85B92" w:rsidP="00C85B92">
            <w:pPr>
              <w:widowControl w:val="0"/>
              <w:tabs>
                <w:tab w:val="right" w:pos="3306"/>
              </w:tabs>
              <w:autoSpaceDE w:val="0"/>
              <w:autoSpaceDN w:val="0"/>
              <w:adjustRightInd w:val="0"/>
              <w:spacing w:after="0" w:line="240" w:lineRule="auto"/>
              <w:jc w:val="center"/>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44,4250</w:t>
            </w:r>
          </w:p>
        </w:tc>
      </w:tr>
    </w:tbl>
    <w:p w:rsidR="00C85B92" w:rsidRPr="00C85B92" w:rsidRDefault="00C85B92" w:rsidP="00C85B92">
      <w:pPr>
        <w:jc w:val="both"/>
        <w:rPr>
          <w:rFonts w:ascii="Arial" w:hAnsi="Arial" w:cs="Arial"/>
          <w:b/>
          <w:szCs w:val="20"/>
          <w:lang w:val="es-ES_tradnl"/>
        </w:rPr>
      </w:pPr>
    </w:p>
    <w:p w:rsidR="00C85B92" w:rsidRPr="00C85B92" w:rsidRDefault="00C85B92" w:rsidP="00C85B92">
      <w:pPr>
        <w:jc w:val="both"/>
        <w:rPr>
          <w:rFonts w:ascii="Arial" w:hAnsi="Arial" w:cs="Arial"/>
          <w:color w:val="FF0000"/>
          <w:lang w:val="es-ES_tradnl"/>
        </w:rPr>
      </w:pPr>
      <w:r w:rsidRPr="00C85B92">
        <w:rPr>
          <w:rFonts w:ascii="Arial" w:hAnsi="Arial" w:cs="Arial"/>
          <w:lang w:val="es-ES_tradnl"/>
        </w:rPr>
        <w:t>Seguidamente se hace llamamiento a los Sres. Licitadores, al objeto de celebrar, de acuerdo con el art. 83.2 del RGLCAP, acto público de apertura de  los sobres C, de propuesta económica/criterios matemáticos. Asisten al acto representantes de las empresas “Antonio Miguel Alonso e Hijos, S.L.” y “Gestión y Ejecución de Obra Civil, S.A.U. (GYOCIVIL) a quienes se informa del resultado del examen y calificación del Informe anteriormente citado.</w:t>
      </w:r>
    </w:p>
    <w:p w:rsidR="00C85B92" w:rsidRPr="00C85B92" w:rsidRDefault="00C85B92" w:rsidP="00C85B92">
      <w:pPr>
        <w:ind w:left="113"/>
        <w:jc w:val="both"/>
        <w:rPr>
          <w:rFonts w:ascii="Arial" w:hAnsi="Arial" w:cs="Arial"/>
          <w:b/>
          <w:szCs w:val="20"/>
          <w:lang w:val="es-ES_tradnl"/>
        </w:rPr>
      </w:pPr>
      <w:r w:rsidRPr="00C85B92">
        <w:rPr>
          <w:rFonts w:ascii="Arial" w:hAnsi="Arial" w:cs="Arial"/>
          <w:szCs w:val="20"/>
        </w:rPr>
        <w:t>A continuación, se procede a la apertura del sobre C, dándose lectura a la propuesta económica/criterios matemáticos/automáticos, que en el mismo se contiene, que es la que seguidamente se detalla:</w:t>
      </w:r>
    </w:p>
    <w:tbl>
      <w:tblPr>
        <w:tblpPr w:leftFromText="141" w:rightFromText="141" w:vertAnchor="text" w:horzAnchor="page" w:tblpX="1465" w:tblpY="62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5010"/>
        <w:gridCol w:w="3260"/>
      </w:tblGrid>
      <w:tr w:rsidR="00C85B92" w:rsidRPr="00C85B92" w:rsidTr="00476C2C">
        <w:tc>
          <w:tcPr>
            <w:tcW w:w="939" w:type="dxa"/>
          </w:tcPr>
          <w:p w:rsidR="00C85B92" w:rsidRPr="00C85B92" w:rsidRDefault="00C85B92" w:rsidP="00C85B92">
            <w:pPr>
              <w:jc w:val="center"/>
              <w:rPr>
                <w:rFonts w:ascii="Arial" w:hAnsi="Arial" w:cs="Arial"/>
                <w:b/>
                <w:szCs w:val="20"/>
              </w:rPr>
            </w:pPr>
            <w:r w:rsidRPr="00C85B92">
              <w:rPr>
                <w:rFonts w:ascii="Arial" w:hAnsi="Arial" w:cs="Arial"/>
                <w:b/>
                <w:szCs w:val="20"/>
              </w:rPr>
              <w:t>Nº ORDEN</w:t>
            </w:r>
          </w:p>
        </w:tc>
        <w:tc>
          <w:tcPr>
            <w:tcW w:w="5010" w:type="dxa"/>
            <w:vAlign w:val="center"/>
          </w:tcPr>
          <w:p w:rsidR="00C85B92" w:rsidRPr="00C85B92" w:rsidRDefault="00C85B92" w:rsidP="00C85B92">
            <w:pPr>
              <w:jc w:val="center"/>
              <w:rPr>
                <w:rFonts w:ascii="Arial" w:hAnsi="Arial" w:cs="Arial"/>
                <w:b/>
                <w:szCs w:val="20"/>
              </w:rPr>
            </w:pPr>
            <w:r w:rsidRPr="00C85B92">
              <w:rPr>
                <w:rFonts w:ascii="Arial" w:hAnsi="Arial" w:cs="Arial"/>
                <w:b/>
                <w:szCs w:val="20"/>
              </w:rPr>
              <w:t>LICITADOR</w:t>
            </w:r>
          </w:p>
        </w:tc>
        <w:tc>
          <w:tcPr>
            <w:tcW w:w="3260" w:type="dxa"/>
            <w:vAlign w:val="center"/>
          </w:tcPr>
          <w:p w:rsidR="00C85B92" w:rsidRPr="00C85B92" w:rsidRDefault="00C85B92" w:rsidP="00C85B92">
            <w:pPr>
              <w:jc w:val="center"/>
              <w:rPr>
                <w:rFonts w:ascii="Arial" w:hAnsi="Arial" w:cs="Arial"/>
                <w:b/>
                <w:szCs w:val="20"/>
              </w:rPr>
            </w:pPr>
            <w:r w:rsidRPr="00C85B92">
              <w:rPr>
                <w:rFonts w:ascii="Arial" w:hAnsi="Arial" w:cs="Arial"/>
                <w:b/>
                <w:szCs w:val="20"/>
              </w:rPr>
              <w:t>PORCENTAJE DE BAJA</w:t>
            </w:r>
          </w:p>
        </w:tc>
      </w:tr>
      <w:tr w:rsidR="00C85B92" w:rsidRPr="00C85B92" w:rsidTr="00476C2C">
        <w:tc>
          <w:tcPr>
            <w:tcW w:w="939" w:type="dxa"/>
            <w:vAlign w:val="center"/>
          </w:tcPr>
          <w:p w:rsidR="00C85B92" w:rsidRPr="00C85B92" w:rsidRDefault="00C85B92" w:rsidP="00C85B92">
            <w:pPr>
              <w:spacing w:after="0"/>
              <w:jc w:val="center"/>
              <w:rPr>
                <w:rFonts w:ascii="Arial" w:hAnsi="Arial" w:cs="Arial"/>
                <w:szCs w:val="20"/>
              </w:rPr>
            </w:pPr>
            <w:r w:rsidRPr="00C85B92">
              <w:rPr>
                <w:rFonts w:ascii="Arial" w:hAnsi="Arial" w:cs="Arial"/>
                <w:szCs w:val="20"/>
              </w:rPr>
              <w:t>1</w:t>
            </w:r>
          </w:p>
        </w:tc>
        <w:tc>
          <w:tcPr>
            <w:tcW w:w="5010"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GESTIÓN Y EJECUCIÓN DE OBRA CIVIL, S.A.U.</w:t>
            </w:r>
          </w:p>
        </w:tc>
        <w:tc>
          <w:tcPr>
            <w:tcW w:w="3260" w:type="dxa"/>
          </w:tcPr>
          <w:p w:rsidR="00C85B92" w:rsidRPr="00C85B92" w:rsidRDefault="00C85B92" w:rsidP="00C85B92">
            <w:pPr>
              <w:tabs>
                <w:tab w:val="right" w:pos="1167"/>
              </w:tabs>
              <w:spacing w:after="0"/>
              <w:jc w:val="center"/>
              <w:rPr>
                <w:rFonts w:ascii="Arial" w:hAnsi="Arial" w:cs="Arial"/>
                <w:szCs w:val="20"/>
              </w:rPr>
            </w:pPr>
            <w:r w:rsidRPr="00C85B92">
              <w:rPr>
                <w:rFonts w:ascii="Arial" w:hAnsi="Arial" w:cs="Arial"/>
                <w:szCs w:val="20"/>
              </w:rPr>
              <w:t>15 %</w:t>
            </w:r>
          </w:p>
        </w:tc>
      </w:tr>
      <w:tr w:rsidR="00C85B92" w:rsidRPr="00C85B92" w:rsidTr="00476C2C">
        <w:tc>
          <w:tcPr>
            <w:tcW w:w="939" w:type="dxa"/>
            <w:vAlign w:val="center"/>
          </w:tcPr>
          <w:p w:rsidR="00C85B92" w:rsidRPr="00C85B92" w:rsidRDefault="00C85B92" w:rsidP="00C85B92">
            <w:pPr>
              <w:spacing w:after="0"/>
              <w:jc w:val="center"/>
              <w:rPr>
                <w:rFonts w:ascii="Arial" w:hAnsi="Arial" w:cs="Arial"/>
                <w:szCs w:val="20"/>
              </w:rPr>
            </w:pPr>
            <w:r w:rsidRPr="00C85B92">
              <w:rPr>
                <w:rFonts w:ascii="Arial" w:hAnsi="Arial" w:cs="Arial"/>
                <w:szCs w:val="20"/>
              </w:rPr>
              <w:t>2</w:t>
            </w:r>
          </w:p>
        </w:tc>
        <w:tc>
          <w:tcPr>
            <w:tcW w:w="5010"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ENTORNO OBRAS Y SERVICIOS, S.L.</w:t>
            </w:r>
          </w:p>
        </w:tc>
        <w:tc>
          <w:tcPr>
            <w:tcW w:w="3260" w:type="dxa"/>
          </w:tcPr>
          <w:p w:rsidR="00C85B92" w:rsidRPr="00C85B92" w:rsidRDefault="00C85B92" w:rsidP="00C85B92">
            <w:pPr>
              <w:tabs>
                <w:tab w:val="right" w:pos="1167"/>
              </w:tabs>
              <w:spacing w:after="0"/>
              <w:jc w:val="center"/>
              <w:rPr>
                <w:rFonts w:ascii="Arial" w:hAnsi="Arial" w:cs="Arial"/>
                <w:szCs w:val="20"/>
              </w:rPr>
            </w:pPr>
            <w:r w:rsidRPr="00C85B92">
              <w:rPr>
                <w:rFonts w:ascii="Arial" w:hAnsi="Arial" w:cs="Arial"/>
                <w:szCs w:val="20"/>
              </w:rPr>
              <w:t>15 %</w:t>
            </w:r>
          </w:p>
        </w:tc>
      </w:tr>
      <w:tr w:rsidR="00C85B92" w:rsidRPr="00C85B92" w:rsidTr="00476C2C">
        <w:tc>
          <w:tcPr>
            <w:tcW w:w="939" w:type="dxa"/>
            <w:vAlign w:val="center"/>
          </w:tcPr>
          <w:p w:rsidR="00C85B92" w:rsidRPr="00C85B92" w:rsidRDefault="00C85B92" w:rsidP="00C85B92">
            <w:pPr>
              <w:spacing w:after="0"/>
              <w:jc w:val="center"/>
              <w:rPr>
                <w:rFonts w:ascii="Arial" w:hAnsi="Arial" w:cs="Arial"/>
                <w:szCs w:val="20"/>
              </w:rPr>
            </w:pPr>
            <w:r w:rsidRPr="00C85B92">
              <w:rPr>
                <w:rFonts w:ascii="Arial" w:hAnsi="Arial" w:cs="Arial"/>
                <w:szCs w:val="20"/>
              </w:rPr>
              <w:t>3</w:t>
            </w:r>
          </w:p>
        </w:tc>
        <w:tc>
          <w:tcPr>
            <w:tcW w:w="5010"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ANTONIO MIGUEL ALONSO e HIJOS, S.L.</w:t>
            </w:r>
          </w:p>
        </w:tc>
        <w:tc>
          <w:tcPr>
            <w:tcW w:w="3260" w:type="dxa"/>
          </w:tcPr>
          <w:p w:rsidR="00C85B92" w:rsidRPr="00C85B92" w:rsidRDefault="00C85B92" w:rsidP="00C85B92">
            <w:pPr>
              <w:tabs>
                <w:tab w:val="right" w:pos="1167"/>
              </w:tabs>
              <w:spacing w:after="0"/>
              <w:jc w:val="center"/>
              <w:rPr>
                <w:rFonts w:ascii="Arial" w:hAnsi="Arial" w:cs="Arial"/>
                <w:szCs w:val="20"/>
              </w:rPr>
            </w:pPr>
            <w:r w:rsidRPr="00C85B92">
              <w:rPr>
                <w:rFonts w:ascii="Arial" w:hAnsi="Arial" w:cs="Arial"/>
                <w:szCs w:val="20"/>
              </w:rPr>
              <w:t>20,320%</w:t>
            </w:r>
          </w:p>
        </w:tc>
      </w:tr>
      <w:tr w:rsidR="00C85B92" w:rsidRPr="00C85B92" w:rsidTr="00476C2C">
        <w:tc>
          <w:tcPr>
            <w:tcW w:w="939" w:type="dxa"/>
            <w:vAlign w:val="center"/>
          </w:tcPr>
          <w:p w:rsidR="00C85B92" w:rsidRPr="00C85B92" w:rsidRDefault="00C85B92" w:rsidP="00C85B92">
            <w:pPr>
              <w:spacing w:after="0"/>
              <w:jc w:val="center"/>
              <w:rPr>
                <w:rFonts w:ascii="Arial" w:hAnsi="Arial" w:cs="Arial"/>
                <w:szCs w:val="20"/>
              </w:rPr>
            </w:pPr>
            <w:r w:rsidRPr="00C85B92">
              <w:rPr>
                <w:rFonts w:ascii="Arial" w:hAnsi="Arial" w:cs="Arial"/>
                <w:szCs w:val="20"/>
              </w:rPr>
              <w:t>4</w:t>
            </w:r>
          </w:p>
        </w:tc>
        <w:tc>
          <w:tcPr>
            <w:tcW w:w="5010" w:type="dxa"/>
          </w:tcPr>
          <w:p w:rsidR="00C85B92" w:rsidRPr="00C85B92" w:rsidRDefault="00C85B92" w:rsidP="00C85B92">
            <w:pPr>
              <w:widowControl w:val="0"/>
              <w:autoSpaceDE w:val="0"/>
              <w:autoSpaceDN w:val="0"/>
              <w:adjustRightInd w:val="0"/>
              <w:spacing w:after="0" w:line="240" w:lineRule="auto"/>
              <w:rPr>
                <w:rFonts w:ascii="Times New Roman" w:eastAsia="Times New Roman" w:hAnsi="Times New Roman" w:cs="Times New Roman"/>
                <w:sz w:val="24"/>
                <w:szCs w:val="24"/>
                <w:lang w:eastAsia="es-ES"/>
              </w:rPr>
            </w:pPr>
            <w:r w:rsidRPr="00C85B92">
              <w:rPr>
                <w:rFonts w:ascii="Times New Roman" w:eastAsia="Times New Roman" w:hAnsi="Times New Roman" w:cs="Times New Roman"/>
                <w:sz w:val="24"/>
                <w:szCs w:val="24"/>
                <w:lang w:eastAsia="es-ES"/>
              </w:rPr>
              <w:t>CONSTRUCCIONES ANTOLÍN GARCÍA LOZOYA, S.A.</w:t>
            </w:r>
          </w:p>
        </w:tc>
        <w:tc>
          <w:tcPr>
            <w:tcW w:w="3260" w:type="dxa"/>
          </w:tcPr>
          <w:p w:rsidR="00C85B92" w:rsidRPr="00C85B92" w:rsidRDefault="00C85B92" w:rsidP="00C85B92">
            <w:pPr>
              <w:tabs>
                <w:tab w:val="right" w:pos="1167"/>
              </w:tabs>
              <w:spacing w:after="0"/>
              <w:jc w:val="center"/>
              <w:rPr>
                <w:rFonts w:ascii="Arial" w:hAnsi="Arial" w:cs="Arial"/>
                <w:szCs w:val="20"/>
              </w:rPr>
            </w:pPr>
            <w:r w:rsidRPr="00C85B92">
              <w:rPr>
                <w:rFonts w:ascii="Arial" w:hAnsi="Arial" w:cs="Arial"/>
                <w:szCs w:val="20"/>
              </w:rPr>
              <w:t>15 %</w:t>
            </w:r>
          </w:p>
        </w:tc>
      </w:tr>
    </w:tbl>
    <w:p w:rsidR="00C85B92" w:rsidRPr="00C85B92" w:rsidRDefault="00C85B92" w:rsidP="00C85B92">
      <w:pPr>
        <w:jc w:val="both"/>
        <w:rPr>
          <w:rFonts w:ascii="Arial" w:hAnsi="Arial" w:cs="Arial"/>
          <w:lang w:val="es-ES_tradnl"/>
        </w:rPr>
      </w:pPr>
    </w:p>
    <w:p w:rsidR="00C85B92" w:rsidRPr="00C85B92" w:rsidRDefault="00C85B92" w:rsidP="00C85B92">
      <w:pPr>
        <w:jc w:val="both"/>
        <w:rPr>
          <w:rFonts w:ascii="Arial" w:hAnsi="Arial" w:cs="Arial"/>
          <w:lang w:val="es-ES_tradnl"/>
        </w:rPr>
      </w:pPr>
    </w:p>
    <w:p w:rsidR="00C85B92" w:rsidRPr="00C85B92" w:rsidRDefault="00C85B92" w:rsidP="00C85B92">
      <w:pPr>
        <w:autoSpaceDE w:val="0"/>
        <w:autoSpaceDN w:val="0"/>
        <w:adjustRightInd w:val="0"/>
        <w:spacing w:after="0" w:line="240" w:lineRule="auto"/>
        <w:ind w:firstLine="708"/>
        <w:jc w:val="both"/>
        <w:rPr>
          <w:rFonts w:ascii="Arial" w:hAnsi="Arial" w:cs="Arial"/>
          <w:iCs/>
        </w:rPr>
      </w:pPr>
      <w:r w:rsidRPr="00C85B92">
        <w:rPr>
          <w:rFonts w:ascii="Arial" w:hAnsi="Arial" w:cs="Arial"/>
          <w:lang w:val="es-ES_tradnl"/>
        </w:rPr>
        <w:t xml:space="preserve">Examinadas las ofertas presentadas  </w:t>
      </w:r>
      <w:r w:rsidRPr="00C85B92">
        <w:rPr>
          <w:rFonts w:ascii="Arial" w:hAnsi="Arial" w:cs="Arial"/>
          <w:iCs/>
        </w:rPr>
        <w:t xml:space="preserve">se comprueba que la presentada </w:t>
      </w:r>
      <w:r w:rsidRPr="00C85B92">
        <w:rPr>
          <w:rFonts w:ascii="Arial" w:hAnsi="Arial" w:cs="Arial"/>
          <w:lang w:val="es-ES_tradnl"/>
        </w:rPr>
        <w:t>por la empresa ANTONIO MIGUEL ALONSO e HIJOS, S.L.</w:t>
      </w:r>
      <w:r w:rsidRPr="00C85B92">
        <w:rPr>
          <w:rFonts w:ascii="Arial" w:hAnsi="Arial" w:cs="Arial"/>
          <w:iCs/>
        </w:rPr>
        <w:t xml:space="preserve"> es desproporcionada o anormal, por incumplimiento del apartado 2.5 del Anexo al Cuadro de Características que establece que “se considerarán como tales, todas aquellas ofertas que superen el quince por ciento (15 %) de baja sobre el cuadro de precios unitarios (Anexo IV), dado que precios inferiores no garantizarían el uso de materiales de calidad, ni los costes salariales y de Seguridad Social preceptivamente aplicables al Sector”.</w:t>
      </w:r>
    </w:p>
    <w:p w:rsidR="00C85B92" w:rsidRPr="00C85B92" w:rsidRDefault="00C85B92" w:rsidP="00C85B92">
      <w:pPr>
        <w:autoSpaceDE w:val="0"/>
        <w:autoSpaceDN w:val="0"/>
        <w:adjustRightInd w:val="0"/>
        <w:spacing w:after="0" w:line="240" w:lineRule="auto"/>
        <w:jc w:val="both"/>
        <w:rPr>
          <w:rFonts w:ascii="Arial" w:hAnsi="Arial" w:cs="Arial"/>
          <w:iCs/>
        </w:rPr>
      </w:pPr>
    </w:p>
    <w:p w:rsidR="00C85B92" w:rsidRPr="00C85B92" w:rsidRDefault="00C85B92" w:rsidP="00C85B92">
      <w:pPr>
        <w:autoSpaceDE w:val="0"/>
        <w:autoSpaceDN w:val="0"/>
        <w:adjustRightInd w:val="0"/>
        <w:spacing w:after="0" w:line="240" w:lineRule="auto"/>
        <w:jc w:val="both"/>
        <w:rPr>
          <w:rFonts w:ascii="Arial" w:hAnsi="Arial" w:cs="Arial"/>
          <w:iCs/>
        </w:rPr>
      </w:pPr>
      <w:r w:rsidRPr="00C85B92">
        <w:rPr>
          <w:rFonts w:ascii="Arial" w:hAnsi="Arial" w:cs="Arial"/>
          <w:iCs/>
        </w:rPr>
        <w:tab/>
        <w:t>En consecuencia, la Junta de Contratación acuerda:</w:t>
      </w:r>
    </w:p>
    <w:p w:rsidR="00C85B92" w:rsidRPr="00C85B92" w:rsidRDefault="00C85B92" w:rsidP="00C85B92">
      <w:pPr>
        <w:autoSpaceDE w:val="0"/>
        <w:autoSpaceDN w:val="0"/>
        <w:adjustRightInd w:val="0"/>
        <w:spacing w:after="0" w:line="240" w:lineRule="auto"/>
        <w:jc w:val="both"/>
        <w:rPr>
          <w:rFonts w:ascii="Arial" w:hAnsi="Arial" w:cs="Arial"/>
          <w:iCs/>
        </w:rPr>
      </w:pPr>
    </w:p>
    <w:p w:rsidR="00C85B92" w:rsidRPr="00C85B92" w:rsidRDefault="00C85B92" w:rsidP="00C85B92">
      <w:pPr>
        <w:spacing w:line="240" w:lineRule="auto"/>
        <w:ind w:firstLine="708"/>
        <w:jc w:val="both"/>
        <w:rPr>
          <w:rFonts w:ascii="Arial" w:hAnsi="Arial" w:cs="Arial"/>
          <w:lang w:val="es-ES_tradnl"/>
        </w:rPr>
      </w:pPr>
      <w:r w:rsidRPr="00C85B92">
        <w:rPr>
          <w:rFonts w:ascii="Arial" w:hAnsi="Arial" w:cs="Arial"/>
        </w:rPr>
        <w:t xml:space="preserve">1º.- </w:t>
      </w:r>
      <w:r w:rsidRPr="00C85B92">
        <w:rPr>
          <w:rFonts w:ascii="Arial" w:hAnsi="Arial" w:cs="Arial"/>
          <w:lang w:val="es-ES_tradnl"/>
        </w:rPr>
        <w:t xml:space="preserve">Conceder la empresa ANTONIO MIGUEL ALONSO e HIJOS, S.L. un plazo de tres </w:t>
      </w:r>
      <w:r w:rsidR="00327FE1">
        <w:rPr>
          <w:rFonts w:ascii="Arial" w:hAnsi="Arial" w:cs="Arial"/>
          <w:lang w:val="es-ES_tradnl"/>
        </w:rPr>
        <w:t xml:space="preserve">días </w:t>
      </w:r>
      <w:r w:rsidRPr="00C85B92">
        <w:rPr>
          <w:rFonts w:ascii="Arial" w:hAnsi="Arial" w:cs="Arial"/>
          <w:lang w:val="es-ES_tradnl"/>
        </w:rPr>
        <w:t xml:space="preserve">hábiles, que concluye el </w:t>
      </w:r>
      <w:r w:rsidRPr="00C85B92">
        <w:rPr>
          <w:rFonts w:ascii="Arial" w:hAnsi="Arial" w:cs="Arial"/>
          <w:b/>
          <w:u w:val="single"/>
          <w:lang w:val="es-ES_tradnl"/>
        </w:rPr>
        <w:t>9 de mayo de 2018</w:t>
      </w:r>
      <w:r w:rsidRPr="00C85B92">
        <w:rPr>
          <w:rFonts w:ascii="Arial" w:hAnsi="Arial" w:cs="Arial"/>
          <w:b/>
          <w:bCs/>
          <w:lang w:val="es-ES_tradnl"/>
        </w:rPr>
        <w:t xml:space="preserve">, </w:t>
      </w:r>
      <w:r w:rsidRPr="00C85B92">
        <w:rPr>
          <w:rFonts w:ascii="Arial" w:hAnsi="Arial" w:cs="Arial"/>
          <w:lang w:val="es-ES_tradnl"/>
        </w:rPr>
        <w:t>para que presente en el Servicio de Contratación de este Ayuntamiento, justificación de la baja propuesta.</w:t>
      </w:r>
      <w:bookmarkStart w:id="0" w:name="_GoBack"/>
      <w:bookmarkEnd w:id="0"/>
    </w:p>
    <w:p w:rsidR="00C85B92" w:rsidRPr="00C85B92" w:rsidRDefault="00C85B92" w:rsidP="00C85B92">
      <w:pPr>
        <w:jc w:val="both"/>
        <w:rPr>
          <w:rFonts w:ascii="Arial" w:hAnsi="Arial" w:cs="Arial"/>
          <w:color w:val="385623"/>
          <w:lang w:val="es-ES_tradnl"/>
        </w:rPr>
      </w:pPr>
      <w:r w:rsidRPr="00C85B92">
        <w:rPr>
          <w:rFonts w:ascii="Arial" w:hAnsi="Arial" w:cs="Arial"/>
          <w:lang w:val="es-ES_tradnl"/>
        </w:rPr>
        <w:lastRenderedPageBreak/>
        <w:tab/>
        <w:t xml:space="preserve">2º.- Una vez recibida la documentación justificativa de la baja, remitir el expediente junto con las cuatro (4) ofertas admitidas, a informe de los Servicios Técnicos competentes, de acuerdo a lo previsto en el artículo 160.1 del TRLCSP, aprobado por Real Decreto Legislativo 3/2011, de 14 de noviembre, a fin de valorar los distintos criterios previstos en el Pliego de Prescripciones Técnicas particulares y formular, en su caso, propuesta de clasificación de ofertas y/o de adjudicación de Contrato. </w:t>
      </w:r>
    </w:p>
    <w:p w:rsidR="00C85B92" w:rsidRPr="00C85B92" w:rsidRDefault="00C85B92" w:rsidP="00C85B92">
      <w:pPr>
        <w:spacing w:after="0" w:line="240" w:lineRule="auto"/>
        <w:jc w:val="both"/>
        <w:rPr>
          <w:rFonts w:ascii="Arial" w:eastAsia="Times New Roman" w:hAnsi="Arial" w:cs="Arial"/>
          <w:b/>
          <w:lang w:val="es-ES_tradnl" w:eastAsia="es-ES"/>
        </w:rPr>
      </w:pPr>
    </w:p>
    <w:p w:rsidR="00C85B92" w:rsidRPr="00C85B92" w:rsidRDefault="00C85B92" w:rsidP="00C85B92">
      <w:pPr>
        <w:spacing w:after="0" w:line="240" w:lineRule="auto"/>
        <w:jc w:val="both"/>
        <w:rPr>
          <w:rFonts w:ascii="Arial" w:eastAsia="Times New Roman" w:hAnsi="Arial" w:cs="Arial"/>
          <w:b/>
          <w:lang w:eastAsia="es-ES"/>
        </w:rPr>
      </w:pPr>
    </w:p>
    <w:p w:rsidR="00C85B92" w:rsidRPr="00C85B92" w:rsidRDefault="00C85B92" w:rsidP="00C85B92">
      <w:pPr>
        <w:spacing w:after="0" w:line="240" w:lineRule="auto"/>
        <w:jc w:val="both"/>
        <w:rPr>
          <w:rFonts w:ascii="Arial" w:eastAsia="Times New Roman" w:hAnsi="Arial" w:cs="Arial"/>
          <w:b/>
          <w:lang w:eastAsia="es-ES"/>
        </w:rPr>
      </w:pPr>
    </w:p>
    <w:p w:rsidR="00C85B92" w:rsidRPr="00C85B92" w:rsidRDefault="00C85B92" w:rsidP="00C85B92">
      <w:pPr>
        <w:spacing w:after="0" w:line="240" w:lineRule="auto"/>
        <w:jc w:val="center"/>
        <w:rPr>
          <w:rFonts w:ascii="Arial" w:eastAsia="Times New Roman" w:hAnsi="Arial" w:cs="Arial"/>
          <w:b/>
          <w:lang w:eastAsia="es-ES"/>
        </w:rPr>
      </w:pPr>
      <w:r w:rsidRPr="00C85B92">
        <w:rPr>
          <w:rFonts w:ascii="Arial" w:eastAsia="Times New Roman" w:hAnsi="Arial" w:cs="Arial"/>
          <w:b/>
          <w:lang w:eastAsia="es-ES"/>
        </w:rPr>
        <w:t>CERTIFICO Y PASE AL SERVICIO DE CONTRATACIÓN Y PATRIMONIO, CON LA SALVEDAD DEL ART. 206 DEL REGLAMENTO DE ORGANIZACIÓN, FUNCIONAMIENTO Y RÉGIMEN JURÍDICO DE LAS CORPORACIONES LOCALES,</w:t>
      </w:r>
    </w:p>
    <w:p w:rsidR="00C85B92" w:rsidRPr="00C85B92" w:rsidRDefault="00C85B92" w:rsidP="00C85B92">
      <w:pPr>
        <w:spacing w:after="0" w:line="240" w:lineRule="auto"/>
        <w:jc w:val="center"/>
        <w:rPr>
          <w:rFonts w:ascii="Arial" w:eastAsia="Times New Roman" w:hAnsi="Arial" w:cs="Arial"/>
          <w:b/>
          <w:lang w:eastAsia="es-ES"/>
        </w:rPr>
      </w:pPr>
      <w:r w:rsidRPr="00C85B92">
        <w:rPr>
          <w:rFonts w:ascii="Arial" w:eastAsia="Times New Roman" w:hAnsi="Arial" w:cs="Arial"/>
          <w:b/>
          <w:lang w:eastAsia="es-ES"/>
        </w:rPr>
        <w:t>EL SECRETARIO DE LA JUNTA DE CONTRATACIÓN,</w:t>
      </w:r>
    </w:p>
    <w:p w:rsidR="00C85B92" w:rsidRPr="00C85B92" w:rsidRDefault="00C85B92" w:rsidP="00C85B92">
      <w:pPr>
        <w:spacing w:after="0" w:line="240" w:lineRule="auto"/>
        <w:jc w:val="center"/>
        <w:rPr>
          <w:rFonts w:ascii="Arial" w:eastAsia="Times New Roman" w:hAnsi="Arial" w:cs="Arial"/>
          <w:b/>
          <w:lang w:eastAsia="es-ES"/>
        </w:rPr>
      </w:pPr>
    </w:p>
    <w:p w:rsidR="00C85B92" w:rsidRPr="00C85B92" w:rsidRDefault="00C85B92" w:rsidP="00C85B92">
      <w:pPr>
        <w:spacing w:after="0" w:line="240" w:lineRule="auto"/>
        <w:jc w:val="center"/>
        <w:rPr>
          <w:rFonts w:ascii="Arial" w:eastAsia="Times New Roman" w:hAnsi="Arial" w:cs="Arial"/>
          <w:b/>
          <w:lang w:eastAsia="es-ES"/>
        </w:rPr>
      </w:pPr>
    </w:p>
    <w:p w:rsidR="00C85B92" w:rsidRPr="00C85B92" w:rsidRDefault="00C85B92" w:rsidP="00C85B92">
      <w:pPr>
        <w:spacing w:after="0" w:line="240" w:lineRule="auto"/>
        <w:jc w:val="center"/>
        <w:rPr>
          <w:rFonts w:ascii="Arial" w:eastAsia="Times New Roman" w:hAnsi="Arial" w:cs="Arial"/>
          <w:b/>
          <w:lang w:eastAsia="es-ES"/>
        </w:rPr>
      </w:pPr>
    </w:p>
    <w:p w:rsidR="00C85B92" w:rsidRPr="00C85B92" w:rsidRDefault="00C85B92" w:rsidP="00C85B92">
      <w:pPr>
        <w:spacing w:after="0" w:line="240" w:lineRule="auto"/>
        <w:jc w:val="center"/>
        <w:rPr>
          <w:rFonts w:ascii="Arial" w:eastAsia="Times New Roman" w:hAnsi="Arial" w:cs="Arial"/>
          <w:b/>
          <w:lang w:eastAsia="es-ES"/>
        </w:rPr>
      </w:pPr>
    </w:p>
    <w:p w:rsidR="00C85B92" w:rsidRPr="00C85B92" w:rsidRDefault="00C85B92" w:rsidP="00C85B92">
      <w:pPr>
        <w:spacing w:after="0" w:line="240" w:lineRule="auto"/>
        <w:jc w:val="center"/>
        <w:rPr>
          <w:rFonts w:ascii="Arial" w:eastAsia="Times New Roman" w:hAnsi="Arial" w:cs="Arial"/>
          <w:b/>
          <w:lang w:eastAsia="es-ES"/>
        </w:rPr>
      </w:pPr>
      <w:r w:rsidRPr="00C85B92">
        <w:rPr>
          <w:rFonts w:ascii="Arial" w:eastAsia="Times New Roman" w:hAnsi="Arial" w:cs="Arial"/>
          <w:b/>
          <w:lang w:eastAsia="es-ES"/>
        </w:rPr>
        <w:t xml:space="preserve">Fdo.: Antonio J. Rodríguez </w:t>
      </w:r>
      <w:proofErr w:type="spellStart"/>
      <w:r w:rsidRPr="00C85B92">
        <w:rPr>
          <w:rFonts w:ascii="Arial" w:eastAsia="Times New Roman" w:hAnsi="Arial" w:cs="Arial"/>
          <w:b/>
          <w:lang w:eastAsia="es-ES"/>
        </w:rPr>
        <w:t>Gauyac</w:t>
      </w:r>
      <w:proofErr w:type="spellEnd"/>
      <w:r w:rsidRPr="00C85B92">
        <w:rPr>
          <w:rFonts w:ascii="Arial" w:eastAsia="Times New Roman" w:hAnsi="Arial" w:cs="Arial"/>
          <w:b/>
          <w:lang w:eastAsia="es-ES"/>
        </w:rPr>
        <w:t>.</w:t>
      </w:r>
    </w:p>
    <w:p w:rsidR="00C85B92" w:rsidRPr="00C85B92" w:rsidRDefault="00C85B92" w:rsidP="00C85B92">
      <w:pPr>
        <w:spacing w:after="0" w:line="240" w:lineRule="auto"/>
        <w:jc w:val="center"/>
        <w:rPr>
          <w:rFonts w:ascii="Arial" w:eastAsia="Times New Roman" w:hAnsi="Arial" w:cs="Arial"/>
          <w:b/>
          <w:lang w:eastAsia="es-ES"/>
        </w:rPr>
      </w:pPr>
    </w:p>
    <w:p w:rsidR="00C85B92" w:rsidRPr="00C85B92" w:rsidRDefault="00C85B92" w:rsidP="00C85B92">
      <w:pPr>
        <w:spacing w:after="0" w:line="240" w:lineRule="auto"/>
        <w:jc w:val="both"/>
        <w:rPr>
          <w:rFonts w:ascii="Arial" w:eastAsia="Times New Roman" w:hAnsi="Arial" w:cs="Arial"/>
          <w:b/>
          <w:lang w:eastAsia="es-ES"/>
        </w:rPr>
      </w:pPr>
    </w:p>
    <w:p w:rsidR="00A06761" w:rsidRDefault="00A06761"/>
    <w:sectPr w:rsidR="00A06761" w:rsidSect="00A973DF">
      <w:headerReference w:type="default" r:id="rId6"/>
      <w:footerReference w:type="default" r:id="rId7"/>
      <w:pgSz w:w="11906" w:h="16838"/>
      <w:pgMar w:top="851" w:right="1134" w:bottom="1134"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27FE1">
      <w:pPr>
        <w:spacing w:after="0" w:line="240" w:lineRule="auto"/>
      </w:pPr>
      <w:r>
        <w:separator/>
      </w:r>
    </w:p>
  </w:endnote>
  <w:endnote w:type="continuationSeparator" w:id="0">
    <w:p w:rsidR="00000000" w:rsidRDefault="0032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46" w:rsidRDefault="00327FE1" w:rsidP="00DE0246">
    <w:pPr>
      <w:pStyle w:val="Piedepgina"/>
      <w:pBdr>
        <w:bottom w:val="single" w:sz="6" w:space="1" w:color="auto"/>
      </w:pBdr>
      <w:jc w:val="center"/>
      <w:rPr>
        <w:i/>
        <w:sz w:val="18"/>
        <w:szCs w:val="18"/>
      </w:rPr>
    </w:pPr>
  </w:p>
  <w:p w:rsidR="00DE0246" w:rsidRPr="002D6C88" w:rsidRDefault="00C85B92" w:rsidP="00DE0246">
    <w:pPr>
      <w:pStyle w:val="Piedepgina"/>
      <w:jc w:val="center"/>
      <w:rPr>
        <w:rFonts w:ascii="Constantia" w:hAnsi="Constantia"/>
        <w:i/>
        <w:sz w:val="18"/>
        <w:szCs w:val="18"/>
      </w:rPr>
    </w:pPr>
    <w:r w:rsidRPr="002D6C88">
      <w:rPr>
        <w:rFonts w:ascii="Constantia" w:hAnsi="Constantia"/>
        <w:i/>
        <w:sz w:val="18"/>
        <w:szCs w:val="18"/>
      </w:rPr>
      <w:t>Excmo. Ayuntamiento de Toledo.- Plaza del Consistorio, 1.- 45071 TOLEDO.-</w:t>
    </w:r>
  </w:p>
  <w:p w:rsidR="00DE0246" w:rsidRPr="002D6C88" w:rsidRDefault="00C85B92" w:rsidP="00DE0246">
    <w:pPr>
      <w:pStyle w:val="Piedepgina"/>
      <w:jc w:val="center"/>
      <w:rPr>
        <w:rFonts w:ascii="Constantia" w:hAnsi="Constantia"/>
        <w:i/>
        <w:sz w:val="18"/>
        <w:szCs w:val="18"/>
      </w:rPr>
    </w:pPr>
    <w:r w:rsidRPr="002D6C88">
      <w:rPr>
        <w:rFonts w:ascii="Constantia" w:hAnsi="Constantia"/>
        <w:i/>
        <w:sz w:val="18"/>
        <w:szCs w:val="18"/>
      </w:rPr>
      <w:t>SERVICIO DE CONTRATACION, PATRIMONIO Y ESTADISTICA.-</w:t>
    </w:r>
  </w:p>
  <w:p w:rsidR="00DE0246" w:rsidRDefault="00327F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27FE1">
      <w:pPr>
        <w:spacing w:after="0" w:line="240" w:lineRule="auto"/>
      </w:pPr>
      <w:r>
        <w:separator/>
      </w:r>
    </w:p>
  </w:footnote>
  <w:footnote w:type="continuationSeparator" w:id="0">
    <w:p w:rsidR="00000000" w:rsidRDefault="00327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46" w:rsidRDefault="00C85B92">
    <w:pPr>
      <w:pStyle w:val="Encabezado"/>
    </w:pPr>
    <w:r>
      <w:rPr>
        <w:noProof/>
      </w:rPr>
      <w:drawing>
        <wp:inline distT="0" distB="0" distL="0" distR="0" wp14:anchorId="08DFF483" wp14:editId="12B3F4F3">
          <wp:extent cx="1295400" cy="1287780"/>
          <wp:effectExtent l="0" t="0" r="0" b="7620"/>
          <wp:docPr id="2" name="Imagen 2" descr="escudo_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tex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7929" cy="1290294"/>
                  </a:xfrm>
                  <a:prstGeom prst="rect">
                    <a:avLst/>
                  </a:prstGeom>
                  <a:noFill/>
                  <a:ln>
                    <a:noFill/>
                  </a:ln>
                </pic:spPr>
              </pic:pic>
            </a:graphicData>
          </a:graphic>
        </wp:inline>
      </w:drawing>
    </w:r>
  </w:p>
  <w:p w:rsidR="00DE0246" w:rsidRDefault="00327F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92"/>
    <w:rsid w:val="00327FE1"/>
    <w:rsid w:val="00A06761"/>
    <w:rsid w:val="00C85B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D2222-9C3C-41BE-930F-AD3C5042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B9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C85B9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85B92"/>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C85B92"/>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27F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F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840</Words>
  <Characters>4622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CONTRA5</dc:creator>
  <cp:keywords/>
  <dc:description/>
  <cp:lastModifiedBy>CONTRA5</cp:lastModifiedBy>
  <cp:revision>2</cp:revision>
  <cp:lastPrinted>2018-05-04T08:51:00Z</cp:lastPrinted>
  <dcterms:created xsi:type="dcterms:W3CDTF">2018-05-04T08:10:00Z</dcterms:created>
  <dcterms:modified xsi:type="dcterms:W3CDTF">2018-05-04T08:56:00Z</dcterms:modified>
</cp:coreProperties>
</file>